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39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1560"/>
        <w:gridCol w:w="141"/>
        <w:gridCol w:w="1843"/>
        <w:gridCol w:w="142"/>
        <w:gridCol w:w="4536"/>
      </w:tblGrid>
      <w:tr w:rsidR="006F5221" w:rsidRPr="00671E20" w:rsidTr="00044628">
        <w:tc>
          <w:tcPr>
            <w:tcW w:w="3168" w:type="dxa"/>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4F81BD" w:themeFill="accent1"/>
          </w:tcPr>
          <w:p w:rsidR="006F5221" w:rsidRPr="006F5221" w:rsidRDefault="006F5221" w:rsidP="00044628">
            <w:pPr>
              <w:ind w:left="180" w:right="72" w:hanging="97"/>
              <w:rPr>
                <w:rFonts w:ascii="Arial" w:eastAsia="Calibri" w:hAnsi="Arial" w:cs="Arial"/>
                <w:color w:val="FFFFFF"/>
                <w:sz w:val="6"/>
                <w:szCs w:val="6"/>
              </w:rPr>
            </w:pPr>
          </w:p>
          <w:p w:rsidR="006F5221" w:rsidRPr="00671E20" w:rsidRDefault="006F5221" w:rsidP="00044628">
            <w:pPr>
              <w:ind w:left="225" w:right="72"/>
              <w:rPr>
                <w:rFonts w:ascii="Arial" w:eastAsia="Calibri" w:hAnsi="Arial" w:cs="Arial"/>
                <w:color w:val="FFFFFF"/>
                <w:sz w:val="24"/>
                <w:szCs w:val="24"/>
              </w:rPr>
            </w:pPr>
            <w:r w:rsidRPr="00671E20">
              <w:rPr>
                <w:rFonts w:ascii="Arial" w:eastAsia="Calibri" w:hAnsi="Arial" w:cs="Arial"/>
                <w:color w:val="FFFFFF"/>
                <w:sz w:val="24"/>
                <w:szCs w:val="24"/>
              </w:rPr>
              <w:t>La scelta</w:t>
            </w:r>
          </w:p>
          <w:p w:rsidR="006F5221" w:rsidRPr="006F5221" w:rsidRDefault="006F5221" w:rsidP="00044628">
            <w:pPr>
              <w:ind w:left="180" w:right="72" w:hanging="97"/>
              <w:rPr>
                <w:rFonts w:ascii="Arial" w:eastAsia="Calibri" w:hAnsi="Arial" w:cs="Arial"/>
                <w:color w:val="FFFFFF"/>
                <w:sz w:val="6"/>
                <w:szCs w:val="6"/>
              </w:rPr>
            </w:pPr>
          </w:p>
        </w:tc>
        <w:tc>
          <w:tcPr>
            <w:tcW w:w="3686" w:type="dxa"/>
            <w:gridSpan w:val="4"/>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4F81BD" w:themeFill="accent1"/>
          </w:tcPr>
          <w:p w:rsidR="006F5221" w:rsidRPr="006F5221" w:rsidRDefault="006F5221" w:rsidP="00044628">
            <w:pPr>
              <w:tabs>
                <w:tab w:val="left" w:pos="3152"/>
              </w:tabs>
              <w:ind w:left="33" w:right="72"/>
              <w:rPr>
                <w:rFonts w:ascii="Arial" w:eastAsia="Calibri" w:hAnsi="Arial" w:cs="Arial"/>
                <w:color w:val="FFFFFF"/>
                <w:sz w:val="6"/>
                <w:szCs w:val="6"/>
              </w:rPr>
            </w:pPr>
          </w:p>
          <w:p w:rsidR="006F5221" w:rsidRPr="000A5AA3" w:rsidRDefault="006F5221" w:rsidP="00044628">
            <w:pPr>
              <w:tabs>
                <w:tab w:val="left" w:pos="3152"/>
              </w:tabs>
              <w:ind w:left="33" w:right="72"/>
              <w:rPr>
                <w:rFonts w:ascii="Arial" w:eastAsia="Calibri" w:hAnsi="Arial" w:cs="Arial"/>
                <w:color w:val="FFFFFF"/>
                <w:sz w:val="24"/>
                <w:szCs w:val="24"/>
              </w:rPr>
            </w:pPr>
            <w:r w:rsidRPr="00671E20">
              <w:rPr>
                <w:rFonts w:ascii="Arial" w:eastAsia="Calibri" w:hAnsi="Arial" w:cs="Arial"/>
                <w:color w:val="FFFFFF"/>
                <w:sz w:val="24"/>
                <w:szCs w:val="24"/>
              </w:rPr>
              <w:t>Un cenno tecnico storico</w:t>
            </w:r>
          </w:p>
        </w:tc>
        <w:tc>
          <w:tcPr>
            <w:tcW w:w="4536" w:type="dxa"/>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4F81BD" w:themeFill="accent1"/>
          </w:tcPr>
          <w:p w:rsidR="006F5221" w:rsidRPr="006F5221" w:rsidRDefault="006F5221" w:rsidP="00044628">
            <w:pPr>
              <w:tabs>
                <w:tab w:val="left" w:pos="4630"/>
              </w:tabs>
              <w:ind w:left="33" w:right="72" w:hanging="33"/>
              <w:rPr>
                <w:rFonts w:ascii="Arial" w:eastAsia="Calibri" w:hAnsi="Arial" w:cs="Arial"/>
                <w:color w:val="FFFFFF"/>
                <w:sz w:val="6"/>
                <w:szCs w:val="6"/>
              </w:rPr>
            </w:pPr>
          </w:p>
          <w:p w:rsidR="006F5221" w:rsidRPr="00671E20" w:rsidRDefault="006F5221" w:rsidP="00044628">
            <w:pPr>
              <w:tabs>
                <w:tab w:val="left" w:pos="4630"/>
              </w:tabs>
              <w:ind w:left="33" w:right="72" w:hanging="33"/>
              <w:rPr>
                <w:rFonts w:ascii="Arial" w:eastAsia="Calibri" w:hAnsi="Arial" w:cs="Arial"/>
                <w:color w:val="FFFFFF"/>
                <w:sz w:val="24"/>
                <w:szCs w:val="24"/>
              </w:rPr>
            </w:pPr>
            <w:r w:rsidRPr="00671E20">
              <w:rPr>
                <w:rFonts w:ascii="Arial" w:eastAsia="Calibri" w:hAnsi="Arial" w:cs="Arial"/>
                <w:color w:val="FFFFFF"/>
                <w:sz w:val="24"/>
                <w:szCs w:val="24"/>
              </w:rPr>
              <w:t>Da evitare</w:t>
            </w:r>
          </w:p>
        </w:tc>
      </w:tr>
      <w:tr w:rsidR="006F5221" w:rsidRPr="000A5AA3" w:rsidTr="00044628">
        <w:trPr>
          <w:trHeight w:val="1873"/>
        </w:trPr>
        <w:tc>
          <w:tcPr>
            <w:tcW w:w="3168" w:type="dxa"/>
            <w:tcBorders>
              <w:top w:val="single" w:sz="4" w:space="0" w:color="1F497D" w:themeColor="text2"/>
            </w:tcBorders>
            <w:shd w:val="clear" w:color="auto" w:fill="auto"/>
          </w:tcPr>
          <w:p w:rsidR="006F5221" w:rsidRPr="006F5221" w:rsidRDefault="006F5221" w:rsidP="00044628">
            <w:pPr>
              <w:tabs>
                <w:tab w:val="left" w:pos="10715"/>
              </w:tabs>
              <w:ind w:left="225" w:right="34"/>
              <w:jc w:val="both"/>
              <w:rPr>
                <w:rFonts w:ascii="Arial" w:eastAsia="Calibri" w:hAnsi="Arial" w:cs="Arial"/>
                <w:color w:val="4F81BD" w:themeColor="accent1"/>
                <w:sz w:val="6"/>
                <w:szCs w:val="6"/>
              </w:rPr>
            </w:pPr>
          </w:p>
          <w:p w:rsidR="006F5221" w:rsidRPr="00C65BEA" w:rsidRDefault="006F5221" w:rsidP="00044628">
            <w:pPr>
              <w:tabs>
                <w:tab w:val="left" w:pos="225"/>
                <w:tab w:val="left" w:pos="10715"/>
              </w:tabs>
              <w:ind w:left="225" w:right="34"/>
              <w:jc w:val="both"/>
              <w:rPr>
                <w:rFonts w:ascii="Arial" w:eastAsia="Times New Roman" w:hAnsi="Arial" w:cs="Arial"/>
                <w:noProof/>
                <w:color w:val="4F81BD" w:themeColor="accent1"/>
                <w:sz w:val="16"/>
                <w:szCs w:val="16"/>
                <w:lang w:eastAsia="it-IT"/>
              </w:rPr>
            </w:pPr>
            <w:r w:rsidRPr="00C65BEA">
              <w:rPr>
                <w:rFonts w:ascii="Arial" w:eastAsia="Times New Roman" w:hAnsi="Arial" w:cs="Arial"/>
                <w:noProof/>
                <w:color w:val="4F81BD" w:themeColor="accent1"/>
                <w:sz w:val="16"/>
                <w:szCs w:val="16"/>
                <w:lang w:eastAsia="it-IT"/>
              </w:rPr>
              <w:drawing>
                <wp:anchor distT="0" distB="0" distL="114300" distR="114300" simplePos="0" relativeHeight="251660288" behindDoc="0" locked="0" layoutInCell="1" allowOverlap="1" wp14:anchorId="1B31A81D" wp14:editId="5B0B2BE9">
                  <wp:simplePos x="0" y="0"/>
                  <wp:positionH relativeFrom="column">
                    <wp:posOffset>125730</wp:posOffset>
                  </wp:positionH>
                  <wp:positionV relativeFrom="paragraph">
                    <wp:posOffset>22225</wp:posOffset>
                  </wp:positionV>
                  <wp:extent cx="935990" cy="80454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elta (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35990" cy="804545"/>
                          </a:xfrm>
                          <a:prstGeom prst="rect">
                            <a:avLst/>
                          </a:prstGeom>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noProof/>
                <w:color w:val="4F81BD" w:themeColor="accent1"/>
                <w:sz w:val="16"/>
                <w:szCs w:val="16"/>
                <w:lang w:eastAsia="it-IT"/>
              </w:rPr>
              <w:t>Nella scelta della barriera chimica</w:t>
            </w:r>
            <w:r>
              <w:rPr>
                <w:rFonts w:ascii="Arial" w:eastAsia="Times New Roman" w:hAnsi="Arial" w:cs="Arial"/>
                <w:noProof/>
                <w:color w:val="4F81BD" w:themeColor="accent1"/>
                <w:sz w:val="16"/>
                <w:szCs w:val="16"/>
                <w:lang w:eastAsia="it-IT"/>
              </w:rPr>
              <w:t xml:space="preserve"> anti umido,</w:t>
            </w:r>
            <w:r w:rsidRPr="00C65BEA">
              <w:rPr>
                <w:rFonts w:ascii="Arial" w:eastAsia="Times New Roman" w:hAnsi="Arial" w:cs="Arial"/>
                <w:noProof/>
                <w:color w:val="4F81BD" w:themeColor="accent1"/>
                <w:sz w:val="16"/>
                <w:szCs w:val="16"/>
                <w:lang w:eastAsia="it-IT"/>
              </w:rPr>
              <w:t xml:space="preserve"> è necessario valutare i contenuti tecnici e tecnologici delle aziende produttrici e/o distributrici del settore. Per selezionare l’operatore “</w:t>
            </w:r>
            <w:r w:rsidRPr="008C17EE">
              <w:rPr>
                <w:rFonts w:ascii="Arial" w:eastAsia="Times New Roman" w:hAnsi="Arial" w:cs="Arial"/>
                <w:i/>
                <w:noProof/>
                <w:color w:val="4F81BD" w:themeColor="accent1"/>
                <w:sz w:val="16"/>
                <w:szCs w:val="16"/>
                <w:lang w:eastAsia="it-IT"/>
              </w:rPr>
              <w:t>giusto</w:t>
            </w:r>
            <w:r w:rsidRPr="00C65BEA">
              <w:rPr>
                <w:rFonts w:ascii="Arial" w:eastAsia="Times New Roman" w:hAnsi="Arial" w:cs="Arial"/>
                <w:noProof/>
                <w:color w:val="4F81BD" w:themeColor="accent1"/>
                <w:sz w:val="16"/>
                <w:szCs w:val="16"/>
                <w:lang w:eastAsia="it-IT"/>
              </w:rPr>
              <w:t xml:space="preserve">”, non dovrebbe bastare sfogliare accattivanti brochure o navigare in sofisticati siti aziendali ma piuttosto riconoscere le reali competenze nei concetti e nei contenuti che vengono espressi. Chiunque con budget adeguato, può lanciare sul mercato una società </w:t>
            </w:r>
            <w:r w:rsidRPr="00C65BEA">
              <w:rPr>
                <w:rFonts w:ascii="Arial" w:eastAsia="Times New Roman" w:hAnsi="Arial" w:cs="Arial"/>
                <w:i/>
                <w:noProof/>
                <w:color w:val="4F81BD" w:themeColor="accent1"/>
                <w:sz w:val="16"/>
                <w:szCs w:val="16"/>
                <w:lang w:eastAsia="it-IT"/>
              </w:rPr>
              <w:t>“esperta risolutrice dei problemi di umidità”</w:t>
            </w:r>
            <w:r w:rsidRPr="00C65BEA">
              <w:rPr>
                <w:rFonts w:ascii="Arial" w:eastAsia="Times New Roman" w:hAnsi="Arial" w:cs="Arial"/>
                <w:noProof/>
                <w:color w:val="4F81BD" w:themeColor="accent1"/>
                <w:sz w:val="16"/>
                <w:szCs w:val="16"/>
                <w:lang w:eastAsia="it-IT"/>
              </w:rPr>
              <w:t xml:space="preserve"> dove più l’immagine è costruita dal marketing, più dubbia è la “sostanza” professionale. </w:t>
            </w:r>
            <w:r w:rsidRPr="008C17EE">
              <w:rPr>
                <w:rFonts w:ascii="Arial" w:eastAsia="Times New Roman" w:hAnsi="Arial" w:cs="Arial"/>
                <w:b/>
                <w:noProof/>
                <w:color w:val="4F81BD" w:themeColor="accent1"/>
                <w:sz w:val="16"/>
                <w:szCs w:val="16"/>
                <w:u w:val="single"/>
                <w:lang w:eastAsia="it-IT"/>
              </w:rPr>
              <w:t>Quindi si a competenze, esperienze, ricerca ed a referenze comprovate, no alle sole immagini patinate.</w:t>
            </w:r>
            <w:r w:rsidRPr="00C65BEA">
              <w:rPr>
                <w:rFonts w:ascii="Arial" w:eastAsia="Times New Roman" w:hAnsi="Arial" w:cs="Arial"/>
                <w:b/>
                <w:noProof/>
                <w:color w:val="4F81BD" w:themeColor="accent1"/>
                <w:sz w:val="16"/>
                <w:szCs w:val="16"/>
                <w:lang w:eastAsia="it-IT"/>
              </w:rPr>
              <w:t xml:space="preserve"> </w:t>
            </w:r>
          </w:p>
        </w:tc>
        <w:tc>
          <w:tcPr>
            <w:tcW w:w="3686" w:type="dxa"/>
            <w:gridSpan w:val="4"/>
            <w:tcBorders>
              <w:top w:val="single" w:sz="4" w:space="0" w:color="1F497D" w:themeColor="text2"/>
            </w:tcBorders>
            <w:shd w:val="clear" w:color="auto" w:fill="auto"/>
          </w:tcPr>
          <w:p w:rsidR="006F5221" w:rsidRPr="006F5221" w:rsidRDefault="006F5221" w:rsidP="00044628">
            <w:pPr>
              <w:tabs>
                <w:tab w:val="left" w:pos="3391"/>
                <w:tab w:val="left" w:pos="3577"/>
                <w:tab w:val="left" w:pos="10715"/>
              </w:tabs>
              <w:ind w:left="33" w:right="34"/>
              <w:jc w:val="both"/>
              <w:rPr>
                <w:rFonts w:ascii="Arial" w:eastAsia="Times New Roman" w:hAnsi="Arial" w:cs="Arial"/>
                <w:noProof/>
                <w:color w:val="4F81BD" w:themeColor="accent1"/>
                <w:sz w:val="6"/>
                <w:szCs w:val="6"/>
                <w:lang w:eastAsia="it-IT"/>
              </w:rPr>
            </w:pPr>
          </w:p>
          <w:p w:rsidR="006F5221" w:rsidRPr="00C65BEA" w:rsidRDefault="006F5221" w:rsidP="00044628">
            <w:pPr>
              <w:tabs>
                <w:tab w:val="left" w:pos="3577"/>
                <w:tab w:val="left" w:pos="10715"/>
              </w:tabs>
              <w:ind w:left="33" w:right="34"/>
              <w:jc w:val="both"/>
              <w:rPr>
                <w:rFonts w:ascii="Arial" w:eastAsia="Times New Roman" w:hAnsi="Arial" w:cs="Arial"/>
                <w:noProof/>
                <w:color w:val="4F81BD" w:themeColor="accent1"/>
                <w:sz w:val="16"/>
                <w:szCs w:val="16"/>
                <w:lang w:eastAsia="it-IT"/>
              </w:rPr>
            </w:pPr>
            <w:r w:rsidRPr="00C65BEA">
              <w:rPr>
                <w:rFonts w:ascii="Arial" w:eastAsia="Times New Roman" w:hAnsi="Arial" w:cs="Arial"/>
                <w:noProof/>
                <w:color w:val="4F81BD" w:themeColor="accent1"/>
                <w:sz w:val="16"/>
                <w:szCs w:val="16"/>
                <w:lang w:eastAsia="it-IT"/>
              </w:rPr>
              <w:drawing>
                <wp:anchor distT="0" distB="0" distL="114300" distR="114300" simplePos="0" relativeHeight="251659264" behindDoc="0" locked="0" layoutInCell="1" allowOverlap="1" wp14:anchorId="56A07F81" wp14:editId="66486D59">
                  <wp:simplePos x="0" y="0"/>
                  <wp:positionH relativeFrom="column">
                    <wp:posOffset>22225</wp:posOffset>
                  </wp:positionH>
                  <wp:positionV relativeFrom="paragraph">
                    <wp:posOffset>27305</wp:posOffset>
                  </wp:positionV>
                  <wp:extent cx="934085" cy="802005"/>
                  <wp:effectExtent l="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2013 17-04-5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34085" cy="802005"/>
                          </a:xfrm>
                          <a:prstGeom prst="rect">
                            <a:avLst/>
                          </a:prstGeom>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noProof/>
                <w:color w:val="4F81BD" w:themeColor="accent1"/>
                <w:sz w:val="16"/>
                <w:szCs w:val="16"/>
                <w:lang w:eastAsia="it-IT"/>
              </w:rPr>
              <w:t xml:space="preserve">Nate negli anni 70, le barriere chimiche anti umidità hanno la funzione di invertire l’angolo di bagnabilità dei capillari murari, citando la legge di Yurin, l’aderenza tra acqua e pareti dei capillari è maggiore della tensione superficiale tra le molecole d’acqua, con il risultato che l’acqua si “inerpica” lungo i capillari. I formulati iniettati dovrebbero invertire questo fenomeno, rendendo le pareti dei capillari in grado di respingere la risalita dell’acqua; ma la domanda è </w:t>
            </w:r>
            <w:r w:rsidRPr="00C65BEA">
              <w:rPr>
                <w:rFonts w:ascii="Arial" w:eastAsia="Times New Roman" w:hAnsi="Arial" w:cs="Arial"/>
                <w:i/>
                <w:noProof/>
                <w:color w:val="4F81BD" w:themeColor="accent1"/>
                <w:sz w:val="16"/>
                <w:szCs w:val="16"/>
                <w:lang w:eastAsia="it-IT"/>
              </w:rPr>
              <w:t>“per quanto tempo questi prodotti sintetici svolgono la loro funzione in una muratura naturale specifica come per esempio il tufo giallo Campano?”.</w:t>
            </w:r>
            <w:r w:rsidRPr="00C65BEA">
              <w:rPr>
                <w:rFonts w:ascii="Arial" w:eastAsia="Times New Roman" w:hAnsi="Arial" w:cs="Arial"/>
                <w:noProof/>
                <w:color w:val="4F81BD" w:themeColor="accent1"/>
                <w:sz w:val="16"/>
                <w:szCs w:val="16"/>
                <w:lang w:eastAsia="it-IT"/>
              </w:rPr>
              <w:t xml:space="preserve"> </w:t>
            </w:r>
            <w:r w:rsidRPr="008C17EE">
              <w:rPr>
                <w:rFonts w:ascii="Arial" w:eastAsia="Times New Roman" w:hAnsi="Arial" w:cs="Arial"/>
                <w:b/>
                <w:noProof/>
                <w:color w:val="4F81BD" w:themeColor="accent1"/>
                <w:sz w:val="16"/>
                <w:szCs w:val="16"/>
                <w:u w:val="single"/>
                <w:lang w:eastAsia="it-IT"/>
              </w:rPr>
              <w:t>Ecco perché il progetto di risanamento anti umido per murature deve essere tarato in modalità compatibile globale, anche in riferimento ai successivi interventi di intonacatura, da realizzare con cicli deumidificanti compatibili, in grado di gestire l’acqua residua in sospensione al di sopra della barriera realizzata ed i sali in essa disciolti.</w:t>
            </w:r>
          </w:p>
        </w:tc>
        <w:tc>
          <w:tcPr>
            <w:tcW w:w="4536" w:type="dxa"/>
            <w:tcBorders>
              <w:top w:val="single" w:sz="4" w:space="0" w:color="1F497D" w:themeColor="text2"/>
            </w:tcBorders>
            <w:shd w:val="clear" w:color="auto" w:fill="auto"/>
          </w:tcPr>
          <w:p w:rsidR="006F5221" w:rsidRPr="006F5221" w:rsidRDefault="006F5221" w:rsidP="00044628">
            <w:pPr>
              <w:tabs>
                <w:tab w:val="left" w:pos="1076"/>
                <w:tab w:val="left" w:pos="3297"/>
                <w:tab w:val="left" w:pos="4630"/>
                <w:tab w:val="left" w:pos="10715"/>
              </w:tabs>
              <w:spacing w:line="276" w:lineRule="auto"/>
              <w:ind w:left="33" w:right="176" w:hanging="33"/>
              <w:jc w:val="both"/>
              <w:rPr>
                <w:rFonts w:ascii="Arial" w:eastAsia="Times New Roman" w:hAnsi="Arial" w:cs="Arial"/>
                <w:noProof/>
                <w:color w:val="4F81BD" w:themeColor="accent1"/>
                <w:sz w:val="6"/>
                <w:szCs w:val="6"/>
                <w:lang w:eastAsia="it-IT"/>
              </w:rPr>
            </w:pPr>
          </w:p>
          <w:p w:rsidR="006F5221" w:rsidRPr="008C17EE" w:rsidRDefault="006F5221" w:rsidP="00044628">
            <w:pPr>
              <w:tabs>
                <w:tab w:val="left" w:pos="1076"/>
                <w:tab w:val="left" w:pos="3438"/>
                <w:tab w:val="left" w:pos="4194"/>
                <w:tab w:val="left" w:pos="4630"/>
                <w:tab w:val="left" w:pos="10715"/>
              </w:tabs>
              <w:ind w:left="33" w:right="176" w:firstLine="1"/>
              <w:jc w:val="both"/>
              <w:rPr>
                <w:rFonts w:ascii="Arial" w:eastAsia="Times New Roman" w:hAnsi="Arial" w:cs="Arial"/>
                <w:b/>
                <w:noProof/>
                <w:color w:val="4F81BD" w:themeColor="accent1"/>
                <w:sz w:val="16"/>
                <w:szCs w:val="16"/>
                <w:lang w:eastAsia="it-IT"/>
              </w:rPr>
            </w:pPr>
            <w:r w:rsidRPr="00C65BEA">
              <w:rPr>
                <w:rFonts w:ascii="Arial" w:eastAsia="Times New Roman" w:hAnsi="Arial" w:cs="Arial"/>
                <w:noProof/>
                <w:color w:val="4F81BD" w:themeColor="accent1"/>
                <w:sz w:val="16"/>
                <w:szCs w:val="16"/>
                <w:lang w:eastAsia="it-IT"/>
              </w:rPr>
              <w:drawing>
                <wp:anchor distT="0" distB="0" distL="114300" distR="114300" simplePos="0" relativeHeight="251661312" behindDoc="0" locked="0" layoutInCell="1" allowOverlap="1" wp14:anchorId="0397E858" wp14:editId="75B938DB">
                  <wp:simplePos x="0" y="0"/>
                  <wp:positionH relativeFrom="column">
                    <wp:posOffset>19050</wp:posOffset>
                  </wp:positionH>
                  <wp:positionV relativeFrom="paragraph">
                    <wp:posOffset>10160</wp:posOffset>
                  </wp:positionV>
                  <wp:extent cx="1031875" cy="774065"/>
                  <wp:effectExtent l="0" t="0" r="0" b="6985"/>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ello-Divieto1.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31875" cy="774065"/>
                          </a:xfrm>
                          <a:prstGeom prst="rect">
                            <a:avLst/>
                          </a:prstGeom>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noProof/>
                <w:color w:val="4F81BD" w:themeColor="accent1"/>
                <w:sz w:val="16"/>
                <w:szCs w:val="16"/>
                <w:lang w:eastAsia="it-IT"/>
              </w:rPr>
              <w:t>“</w:t>
            </w:r>
            <w:r w:rsidRPr="00C65BEA">
              <w:rPr>
                <w:rFonts w:ascii="Arial" w:eastAsia="Times New Roman" w:hAnsi="Arial" w:cs="Arial"/>
                <w:i/>
                <w:noProof/>
                <w:color w:val="4F81BD" w:themeColor="accent1"/>
                <w:sz w:val="16"/>
                <w:szCs w:val="16"/>
                <w:lang w:eastAsia="it-IT"/>
              </w:rPr>
              <w:t>Una soluzione per tutti i casi</w:t>
            </w:r>
            <w:r w:rsidRPr="00C65BEA">
              <w:rPr>
                <w:rFonts w:ascii="Arial" w:eastAsia="Times New Roman" w:hAnsi="Arial" w:cs="Arial"/>
                <w:noProof/>
                <w:color w:val="4F81BD" w:themeColor="accent1"/>
                <w:sz w:val="16"/>
                <w:szCs w:val="16"/>
                <w:lang w:eastAsia="it-IT"/>
              </w:rPr>
              <w:t xml:space="preserve">”, ecco uno degli errori comuni, non esiste infatti un metodo che ricopra l’intera gamma di problematiche dovute alle svariate combinazioni tra; </w:t>
            </w:r>
            <w:r w:rsidRPr="00C65BEA">
              <w:rPr>
                <w:rFonts w:ascii="Arial" w:eastAsia="Times New Roman" w:hAnsi="Arial" w:cs="Arial"/>
                <w:i/>
                <w:noProof/>
                <w:color w:val="4F81BD" w:themeColor="accent1"/>
                <w:sz w:val="16"/>
                <w:szCs w:val="16"/>
                <w:u w:val="single"/>
                <w:lang w:eastAsia="it-IT"/>
              </w:rPr>
              <w:t>sistemi costruttivi, natura e condizione dei conci, tipologie e spessore delle murature e le condizioni fondali</w:t>
            </w:r>
            <w:r w:rsidRPr="00C65BEA">
              <w:rPr>
                <w:rFonts w:ascii="Arial" w:eastAsia="Times New Roman" w:hAnsi="Arial" w:cs="Arial"/>
                <w:noProof/>
                <w:color w:val="4F81BD" w:themeColor="accent1"/>
                <w:sz w:val="16"/>
                <w:szCs w:val="16"/>
                <w:lang w:eastAsia="it-IT"/>
              </w:rPr>
              <w:t xml:space="preserve">. Una proposta corretta si basa su di una attenta valutazione caso per caso e della successiva proposta tecnologica/applicativa, più idonea in considerazione della compatibilità dell’intervento. Per questa elaborazione preliminare è sufficiente l’esperienza di un tecnico competente, mentre proporre od imporre analisi scientifiche per confermare patologie murarie evidenti, fa molta scena ma inutilmente e lievita il budget di spesa.  Indagini come ecometria, test di Höechst al carburo di calcio o le sezioni sottili, possono risultare necessarie in casi particolarmente dubbi o estremi di restauro monumentale vincolato. </w:t>
            </w:r>
            <w:r w:rsidRPr="008C17EE">
              <w:rPr>
                <w:rFonts w:ascii="Arial" w:eastAsia="Times New Roman" w:hAnsi="Arial" w:cs="Arial"/>
                <w:b/>
                <w:noProof/>
                <w:color w:val="4F81BD" w:themeColor="accent1"/>
                <w:sz w:val="16"/>
                <w:szCs w:val="16"/>
                <w:u w:val="single"/>
                <w:lang w:eastAsia="it-IT"/>
              </w:rPr>
              <w:t>In ambito civile l’esperienza del tecnico deve poter coprire la maggior parte della casistica conosciuta, mentre le sole video termografie possono coadiuvare l’esperto nell’elaborazione del progetto di risanamento, anche grazie ai diminuiti costi delle apparecchiature di ultima generazione</w:t>
            </w:r>
            <w:r w:rsidRPr="008C17EE">
              <w:rPr>
                <w:rFonts w:ascii="Arial" w:eastAsia="Times New Roman" w:hAnsi="Arial" w:cs="Arial"/>
                <w:b/>
                <w:noProof/>
                <w:color w:val="4F81BD" w:themeColor="accent1"/>
                <w:sz w:val="16"/>
                <w:szCs w:val="16"/>
                <w:lang w:eastAsia="it-IT"/>
              </w:rPr>
              <w:t>.</w:t>
            </w:r>
          </w:p>
          <w:p w:rsidR="006F5221" w:rsidRPr="006F5221" w:rsidRDefault="006F5221" w:rsidP="00044628">
            <w:pPr>
              <w:tabs>
                <w:tab w:val="left" w:pos="1076"/>
                <w:tab w:val="left" w:pos="3438"/>
                <w:tab w:val="left" w:pos="4630"/>
                <w:tab w:val="left" w:pos="10715"/>
              </w:tabs>
              <w:ind w:left="33" w:right="176" w:firstLine="1"/>
              <w:jc w:val="both"/>
              <w:rPr>
                <w:rFonts w:ascii="Arial" w:eastAsia="Times New Roman" w:hAnsi="Arial" w:cs="Arial"/>
                <w:noProof/>
                <w:color w:val="4F81BD" w:themeColor="accent1"/>
                <w:sz w:val="6"/>
                <w:szCs w:val="6"/>
                <w:lang w:eastAsia="it-IT"/>
              </w:rPr>
            </w:pPr>
          </w:p>
        </w:tc>
      </w:tr>
      <w:tr w:rsidR="006F5221" w:rsidRPr="000A5AA3" w:rsidTr="00044628">
        <w:trPr>
          <w:trHeight w:val="429"/>
        </w:trPr>
        <w:tc>
          <w:tcPr>
            <w:tcW w:w="4728" w:type="dxa"/>
            <w:gridSpan w:val="2"/>
            <w:shd w:val="clear" w:color="auto" w:fill="4F81BD" w:themeFill="accent1"/>
          </w:tcPr>
          <w:p w:rsidR="006F5221" w:rsidRPr="006F5221" w:rsidRDefault="006F5221" w:rsidP="00044628">
            <w:pPr>
              <w:tabs>
                <w:tab w:val="left" w:pos="1451"/>
                <w:tab w:val="left" w:pos="3391"/>
                <w:tab w:val="left" w:pos="10715"/>
              </w:tabs>
              <w:ind w:left="33" w:right="34"/>
              <w:jc w:val="both"/>
              <w:rPr>
                <w:rFonts w:ascii="Arial" w:eastAsia="Times New Roman" w:hAnsi="Arial" w:cs="Arial"/>
                <w:noProof/>
                <w:color w:val="FFFFFF" w:themeColor="background1"/>
                <w:sz w:val="6"/>
                <w:szCs w:val="6"/>
                <w:lang w:eastAsia="it-IT"/>
              </w:rPr>
            </w:pPr>
          </w:p>
          <w:p w:rsidR="006F5221" w:rsidRPr="00671E20" w:rsidRDefault="006F5221" w:rsidP="00044628">
            <w:pPr>
              <w:tabs>
                <w:tab w:val="left" w:pos="1451"/>
                <w:tab w:val="left" w:pos="3391"/>
                <w:tab w:val="left" w:pos="10715"/>
              </w:tabs>
              <w:ind w:left="83" w:right="34" w:firstLine="142"/>
              <w:jc w:val="both"/>
              <w:rPr>
                <w:rFonts w:ascii="Arial" w:eastAsia="Times New Roman" w:hAnsi="Arial" w:cs="Arial"/>
                <w:noProof/>
                <w:color w:val="FFFFFF" w:themeColor="background1"/>
                <w:sz w:val="24"/>
                <w:szCs w:val="24"/>
                <w:lang w:eastAsia="it-IT"/>
              </w:rPr>
            </w:pPr>
            <w:r w:rsidRPr="00671E20">
              <w:rPr>
                <w:rFonts w:ascii="Arial" w:eastAsia="Times New Roman" w:hAnsi="Arial" w:cs="Arial"/>
                <w:noProof/>
                <w:color w:val="FFFFFF" w:themeColor="background1"/>
                <w:sz w:val="24"/>
                <w:szCs w:val="24"/>
                <w:lang w:eastAsia="it-IT"/>
              </w:rPr>
              <w:t xml:space="preserve">Altri sistemi </w:t>
            </w:r>
          </w:p>
          <w:p w:rsidR="006F5221" w:rsidRPr="000A5AA3" w:rsidRDefault="006F5221" w:rsidP="006F5221">
            <w:pPr>
              <w:tabs>
                <w:tab w:val="left" w:pos="1451"/>
                <w:tab w:val="left" w:pos="3391"/>
                <w:tab w:val="left" w:pos="10715"/>
              </w:tabs>
              <w:ind w:right="34"/>
              <w:jc w:val="both"/>
              <w:rPr>
                <w:rFonts w:ascii="Arial" w:eastAsia="Times New Roman" w:hAnsi="Arial" w:cs="Arial"/>
                <w:noProof/>
                <w:color w:val="FFFFFF" w:themeColor="background1"/>
                <w:sz w:val="10"/>
                <w:szCs w:val="10"/>
                <w:lang w:eastAsia="it-IT"/>
              </w:rPr>
            </w:pPr>
          </w:p>
        </w:tc>
        <w:tc>
          <w:tcPr>
            <w:tcW w:w="6662" w:type="dxa"/>
            <w:gridSpan w:val="4"/>
            <w:shd w:val="clear" w:color="auto" w:fill="4F81BD" w:themeFill="accent1"/>
          </w:tcPr>
          <w:p w:rsidR="006F5221" w:rsidRPr="006F5221" w:rsidRDefault="006F5221" w:rsidP="00044628">
            <w:pPr>
              <w:tabs>
                <w:tab w:val="left" w:pos="1076"/>
                <w:tab w:val="left" w:pos="3297"/>
                <w:tab w:val="left" w:pos="4630"/>
                <w:tab w:val="left" w:pos="10715"/>
              </w:tabs>
              <w:spacing w:line="276" w:lineRule="auto"/>
              <w:ind w:left="33" w:right="409" w:hanging="33"/>
              <w:jc w:val="both"/>
              <w:rPr>
                <w:rFonts w:ascii="Arial" w:eastAsia="Times New Roman" w:hAnsi="Arial" w:cs="Arial"/>
                <w:noProof/>
                <w:color w:val="FFFFFF" w:themeColor="background1"/>
                <w:sz w:val="6"/>
                <w:szCs w:val="6"/>
                <w:lang w:eastAsia="it-IT"/>
              </w:rPr>
            </w:pPr>
          </w:p>
          <w:p w:rsidR="006F5221" w:rsidRPr="006F5221" w:rsidRDefault="006F5221" w:rsidP="006F5221">
            <w:pPr>
              <w:tabs>
                <w:tab w:val="left" w:pos="1076"/>
                <w:tab w:val="left" w:pos="3297"/>
                <w:tab w:val="left" w:pos="4630"/>
                <w:tab w:val="left" w:pos="10715"/>
              </w:tabs>
              <w:spacing w:line="276" w:lineRule="auto"/>
              <w:ind w:left="33" w:right="409" w:firstLine="1"/>
              <w:jc w:val="both"/>
              <w:rPr>
                <w:rFonts w:ascii="Arial" w:eastAsia="Times New Roman" w:hAnsi="Arial" w:cs="Arial"/>
                <w:noProof/>
                <w:color w:val="FFFFFF" w:themeColor="background1"/>
                <w:sz w:val="24"/>
                <w:szCs w:val="24"/>
                <w:lang w:eastAsia="it-IT"/>
              </w:rPr>
            </w:pPr>
            <w:r w:rsidRPr="00671E20">
              <w:rPr>
                <w:rFonts w:ascii="Arial" w:eastAsia="Times New Roman" w:hAnsi="Arial" w:cs="Arial"/>
                <w:noProof/>
                <w:color w:val="FFFFFF" w:themeColor="background1"/>
                <w:sz w:val="24"/>
                <w:szCs w:val="24"/>
                <w:lang w:eastAsia="it-IT"/>
              </w:rPr>
              <w:t xml:space="preserve">Definizioni generiche </w:t>
            </w:r>
          </w:p>
        </w:tc>
      </w:tr>
      <w:tr w:rsidR="006F5221" w:rsidRPr="000A5AA3" w:rsidTr="006F5221">
        <w:trPr>
          <w:trHeight w:val="970"/>
        </w:trPr>
        <w:tc>
          <w:tcPr>
            <w:tcW w:w="4869" w:type="dxa"/>
            <w:gridSpan w:val="3"/>
            <w:shd w:val="clear" w:color="auto" w:fill="auto"/>
          </w:tcPr>
          <w:p w:rsidR="006F5221" w:rsidRPr="006F5221" w:rsidRDefault="006F5221" w:rsidP="006F5221">
            <w:pPr>
              <w:tabs>
                <w:tab w:val="left" w:pos="1451"/>
                <w:tab w:val="left" w:pos="3391"/>
                <w:tab w:val="left" w:pos="10715"/>
              </w:tabs>
              <w:ind w:left="33" w:right="-108"/>
              <w:jc w:val="both"/>
              <w:rPr>
                <w:rFonts w:ascii="Arial" w:eastAsia="Times New Roman" w:hAnsi="Arial" w:cs="Arial"/>
                <w:b/>
                <w:noProof/>
                <w:color w:val="4F81BD" w:themeColor="accent1"/>
                <w:sz w:val="6"/>
                <w:szCs w:val="6"/>
                <w:lang w:eastAsia="it-IT"/>
              </w:rPr>
            </w:pPr>
          </w:p>
          <w:p w:rsidR="006F5221" w:rsidRPr="00C65BEA" w:rsidRDefault="006F5221" w:rsidP="006F5221">
            <w:pPr>
              <w:tabs>
                <w:tab w:val="left" w:pos="1451"/>
                <w:tab w:val="left" w:pos="3391"/>
                <w:tab w:val="left" w:pos="10715"/>
              </w:tabs>
              <w:spacing w:line="360" w:lineRule="auto"/>
              <w:ind w:left="225" w:right="-108"/>
              <w:rPr>
                <w:rFonts w:ascii="Arial" w:eastAsia="Times New Roman" w:hAnsi="Arial" w:cs="Arial"/>
                <w:noProof/>
                <w:color w:val="4F81BD" w:themeColor="accent1"/>
                <w:sz w:val="16"/>
                <w:szCs w:val="16"/>
                <w:lang w:eastAsia="it-IT"/>
              </w:rPr>
            </w:pPr>
            <w:r>
              <w:rPr>
                <w:rFonts w:ascii="Arial" w:eastAsia="Times New Roman" w:hAnsi="Arial" w:cs="Arial"/>
                <w:b/>
                <w:noProof/>
                <w:color w:val="4F81BD" w:themeColor="accent1"/>
                <w:sz w:val="16"/>
                <w:szCs w:val="16"/>
                <w:lang w:eastAsia="it-IT"/>
              </w:rPr>
              <w:drawing>
                <wp:anchor distT="0" distB="0" distL="114300" distR="114300" simplePos="0" relativeHeight="251668480" behindDoc="0" locked="0" layoutInCell="1" allowOverlap="1" wp14:anchorId="6DE1FC7C" wp14:editId="11A00BBF">
                  <wp:simplePos x="0" y="0"/>
                  <wp:positionH relativeFrom="column">
                    <wp:posOffset>126365</wp:posOffset>
                  </wp:positionH>
                  <wp:positionV relativeFrom="paragraph">
                    <wp:posOffset>31750</wp:posOffset>
                  </wp:positionV>
                  <wp:extent cx="935990" cy="796925"/>
                  <wp:effectExtent l="0" t="0" r="0" b="3175"/>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dici_taglio_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35990" cy="796925"/>
                          </a:xfrm>
                          <a:prstGeom prst="rect">
                            <a:avLst/>
                          </a:prstGeom>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b/>
                <w:noProof/>
                <w:color w:val="4F81BD" w:themeColor="accent1"/>
                <w:sz w:val="16"/>
                <w:szCs w:val="16"/>
                <w:lang w:eastAsia="it-IT"/>
              </w:rPr>
              <w:t>Meccanico</w:t>
            </w:r>
            <w:r w:rsidRPr="00C65BEA">
              <w:rPr>
                <w:rFonts w:ascii="Arial" w:eastAsia="Times New Roman" w:hAnsi="Arial" w:cs="Arial"/>
                <w:noProof/>
                <w:color w:val="4F81BD" w:themeColor="accent1"/>
                <w:sz w:val="16"/>
                <w:szCs w:val="16"/>
                <w:lang w:eastAsia="it-IT"/>
              </w:rPr>
              <w:t>; mediante taglio meccanico dei muri (in disuso)</w:t>
            </w:r>
          </w:p>
          <w:p w:rsidR="006F5221" w:rsidRPr="00C65BEA" w:rsidRDefault="006F5221" w:rsidP="006F5221">
            <w:pPr>
              <w:tabs>
                <w:tab w:val="left" w:pos="1451"/>
                <w:tab w:val="left" w:pos="3391"/>
                <w:tab w:val="left" w:pos="10715"/>
              </w:tabs>
              <w:spacing w:line="360" w:lineRule="auto"/>
              <w:ind w:left="225" w:right="-108"/>
              <w:rPr>
                <w:rFonts w:ascii="Arial" w:eastAsia="Times New Roman" w:hAnsi="Arial" w:cs="Arial"/>
                <w:noProof/>
                <w:color w:val="4F81BD" w:themeColor="accent1"/>
                <w:sz w:val="16"/>
                <w:szCs w:val="16"/>
                <w:lang w:eastAsia="it-IT"/>
              </w:rPr>
            </w:pPr>
            <w:r w:rsidRPr="00C65BEA">
              <w:rPr>
                <w:rFonts w:ascii="Arial" w:eastAsia="Times New Roman" w:hAnsi="Arial" w:cs="Arial"/>
                <w:b/>
                <w:noProof/>
                <w:color w:val="4F81BD" w:themeColor="accent1"/>
                <w:sz w:val="16"/>
                <w:szCs w:val="16"/>
                <w:lang w:eastAsia="it-IT"/>
              </w:rPr>
              <w:t>Aerante</w:t>
            </w:r>
            <w:r w:rsidRPr="00C65BEA">
              <w:rPr>
                <w:rFonts w:ascii="Arial" w:eastAsia="Times New Roman" w:hAnsi="Arial" w:cs="Arial"/>
                <w:noProof/>
                <w:color w:val="4F81BD" w:themeColor="accent1"/>
                <w:sz w:val="16"/>
                <w:szCs w:val="16"/>
                <w:lang w:eastAsia="it-IT"/>
              </w:rPr>
              <w:t>; mediante introduzione di sifoni o intonaci porosi</w:t>
            </w:r>
          </w:p>
          <w:p w:rsidR="006F5221" w:rsidRPr="00B0131C" w:rsidRDefault="006F5221" w:rsidP="006F5221">
            <w:pPr>
              <w:tabs>
                <w:tab w:val="left" w:pos="10715"/>
              </w:tabs>
              <w:spacing w:line="360" w:lineRule="auto"/>
              <w:ind w:left="225" w:right="-108"/>
              <w:rPr>
                <w:rFonts w:ascii="Arial" w:eastAsia="Calibri" w:hAnsi="Arial" w:cs="Arial"/>
                <w:color w:val="4F81BD" w:themeColor="accent1"/>
                <w:sz w:val="24"/>
                <w:szCs w:val="24"/>
              </w:rPr>
            </w:pPr>
            <w:r w:rsidRPr="00C65BEA">
              <w:rPr>
                <w:rFonts w:ascii="Arial" w:eastAsia="Times New Roman" w:hAnsi="Arial" w:cs="Arial"/>
                <w:b/>
                <w:noProof/>
                <w:color w:val="4F81BD" w:themeColor="accent1"/>
                <w:sz w:val="16"/>
                <w:szCs w:val="16"/>
                <w:lang w:eastAsia="it-IT"/>
              </w:rPr>
              <w:t>Elettrofisico</w:t>
            </w:r>
            <w:r w:rsidRPr="00C65BEA">
              <w:rPr>
                <w:rFonts w:ascii="Arial" w:eastAsia="Times New Roman" w:hAnsi="Arial" w:cs="Arial"/>
                <w:noProof/>
                <w:color w:val="4F81BD" w:themeColor="accent1"/>
                <w:sz w:val="16"/>
                <w:szCs w:val="16"/>
                <w:lang w:eastAsia="it-IT"/>
              </w:rPr>
              <w:t>; conduzione elettrosmotica</w:t>
            </w:r>
          </w:p>
        </w:tc>
        <w:tc>
          <w:tcPr>
            <w:tcW w:w="6521" w:type="dxa"/>
            <w:gridSpan w:val="3"/>
            <w:shd w:val="clear" w:color="auto" w:fill="auto"/>
          </w:tcPr>
          <w:p w:rsidR="006F5221" w:rsidRPr="006F5221" w:rsidRDefault="006F5221" w:rsidP="00044628">
            <w:pPr>
              <w:tabs>
                <w:tab w:val="left" w:pos="1076"/>
                <w:tab w:val="left" w:pos="3297"/>
                <w:tab w:val="left" w:pos="4630"/>
                <w:tab w:val="left" w:pos="10715"/>
              </w:tabs>
              <w:spacing w:line="276" w:lineRule="auto"/>
              <w:ind w:left="33" w:right="176" w:hanging="33"/>
              <w:jc w:val="both"/>
              <w:rPr>
                <w:rFonts w:ascii="Arial" w:eastAsia="Times New Roman" w:hAnsi="Arial" w:cs="Arial"/>
                <w:noProof/>
                <w:color w:val="4F81BD" w:themeColor="accent1"/>
                <w:sz w:val="6"/>
                <w:szCs w:val="6"/>
                <w:lang w:eastAsia="it-IT"/>
              </w:rPr>
            </w:pPr>
          </w:p>
          <w:p w:rsidR="006F5221" w:rsidRPr="006F5221" w:rsidRDefault="006F5221" w:rsidP="006F5221">
            <w:pPr>
              <w:tabs>
                <w:tab w:val="left" w:pos="1076"/>
                <w:tab w:val="left" w:pos="3297"/>
                <w:tab w:val="left" w:pos="4630"/>
                <w:tab w:val="left" w:pos="10715"/>
              </w:tabs>
              <w:spacing w:line="276" w:lineRule="auto"/>
              <w:ind w:left="33" w:right="176"/>
              <w:jc w:val="both"/>
              <w:rPr>
                <w:rFonts w:ascii="Arial" w:eastAsia="Times New Roman" w:hAnsi="Arial" w:cs="Arial"/>
                <w:noProof/>
                <w:color w:val="4F81BD" w:themeColor="accent1"/>
                <w:sz w:val="16"/>
                <w:szCs w:val="16"/>
                <w:lang w:eastAsia="it-IT"/>
              </w:rPr>
            </w:pPr>
            <w:r w:rsidRPr="00C65BEA">
              <w:rPr>
                <w:rFonts w:ascii="Arial" w:eastAsia="Times New Roman" w:hAnsi="Arial" w:cs="Arial"/>
                <w:noProof/>
                <w:color w:val="4F81BD" w:themeColor="accent1"/>
                <w:sz w:val="16"/>
                <w:szCs w:val="16"/>
                <w:lang w:eastAsia="it-IT"/>
              </w:rPr>
              <w:drawing>
                <wp:anchor distT="0" distB="0" distL="114300" distR="114300" simplePos="0" relativeHeight="251664384" behindDoc="0" locked="0" layoutInCell="1" allowOverlap="1" wp14:anchorId="4B1EC10C" wp14:editId="75E0BB1A">
                  <wp:simplePos x="0" y="0"/>
                  <wp:positionH relativeFrom="column">
                    <wp:posOffset>13335</wp:posOffset>
                  </wp:positionH>
                  <wp:positionV relativeFrom="paragraph">
                    <wp:posOffset>21590</wp:posOffset>
                  </wp:positionV>
                  <wp:extent cx="935990" cy="796925"/>
                  <wp:effectExtent l="0" t="0" r="0" b="3175"/>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ole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35990" cy="796925"/>
                          </a:xfrm>
                          <a:prstGeom prst="rect">
                            <a:avLst/>
                          </a:prstGeom>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noProof/>
                <w:color w:val="4F81BD" w:themeColor="accent1"/>
                <w:sz w:val="16"/>
                <w:szCs w:val="16"/>
                <w:lang w:eastAsia="it-IT"/>
              </w:rPr>
              <w:t>“Resine impermeabilizzanti” “prodotto di ultima generazione” “polidimetilsilossani” “resine sintetiche impermeabilizzanti” “acrilsiliconsilaniche” “speciale formulato” “opportuni solventi” sono alcune delle molte definizioni generiche utilizzate nel gergo del settore, che possono dire tanto ma possono nel contempo anche non significare assolutamente nulla. Accertati di cosa inietti nel muro e chiedi referenze su muri del tuo tipo.</w:t>
            </w:r>
          </w:p>
        </w:tc>
      </w:tr>
      <w:tr w:rsidR="006F5221" w:rsidRPr="00691B95" w:rsidTr="00044628">
        <w:trPr>
          <w:trHeight w:val="343"/>
        </w:trPr>
        <w:tc>
          <w:tcPr>
            <w:tcW w:w="6712" w:type="dxa"/>
            <w:gridSpan w:val="4"/>
            <w:shd w:val="clear" w:color="auto" w:fill="4F81BD" w:themeFill="accent1"/>
          </w:tcPr>
          <w:p w:rsidR="006F5221" w:rsidRPr="006F5221" w:rsidRDefault="006F5221" w:rsidP="00044628">
            <w:pPr>
              <w:tabs>
                <w:tab w:val="left" w:pos="1076"/>
                <w:tab w:val="left" w:pos="3861"/>
                <w:tab w:val="left" w:pos="10715"/>
              </w:tabs>
              <w:spacing w:line="276" w:lineRule="auto"/>
              <w:ind w:left="34" w:right="34"/>
              <w:jc w:val="both"/>
              <w:rPr>
                <w:rFonts w:ascii="Arial" w:eastAsia="Times New Roman" w:hAnsi="Arial" w:cs="Arial"/>
                <w:noProof/>
                <w:color w:val="FFFFFF" w:themeColor="background1"/>
                <w:sz w:val="6"/>
                <w:szCs w:val="6"/>
                <w:lang w:eastAsia="it-IT"/>
              </w:rPr>
            </w:pPr>
          </w:p>
          <w:p w:rsidR="006F5221" w:rsidRPr="00671E20" w:rsidRDefault="006F5221" w:rsidP="00044628">
            <w:pPr>
              <w:tabs>
                <w:tab w:val="left" w:pos="1076"/>
                <w:tab w:val="left" w:pos="3861"/>
                <w:tab w:val="left" w:pos="10715"/>
              </w:tabs>
              <w:spacing w:line="276" w:lineRule="auto"/>
              <w:ind w:left="83" w:right="34" w:firstLine="142"/>
              <w:jc w:val="both"/>
              <w:rPr>
                <w:rFonts w:ascii="Arial" w:eastAsia="Times New Roman" w:hAnsi="Arial" w:cs="Arial"/>
                <w:noProof/>
                <w:color w:val="FFFFFF" w:themeColor="background1"/>
                <w:sz w:val="24"/>
                <w:szCs w:val="24"/>
                <w:lang w:eastAsia="it-IT"/>
              </w:rPr>
            </w:pPr>
            <w:r w:rsidRPr="00671E20">
              <w:rPr>
                <w:rFonts w:ascii="Arial" w:eastAsia="Times New Roman" w:hAnsi="Arial" w:cs="Arial"/>
                <w:noProof/>
                <w:color w:val="FFFFFF" w:themeColor="background1"/>
                <w:sz w:val="24"/>
                <w:szCs w:val="24"/>
                <w:lang w:eastAsia="it-IT"/>
              </w:rPr>
              <w:t>L’auto sigillatura dei fori</w:t>
            </w:r>
          </w:p>
          <w:p w:rsidR="006F5221" w:rsidRPr="006F5221" w:rsidRDefault="006F5221" w:rsidP="00044628">
            <w:pPr>
              <w:tabs>
                <w:tab w:val="left" w:pos="1076"/>
                <w:tab w:val="left" w:pos="3391"/>
                <w:tab w:val="left" w:pos="10715"/>
              </w:tabs>
              <w:spacing w:line="276" w:lineRule="auto"/>
              <w:ind w:right="409"/>
              <w:jc w:val="both"/>
              <w:rPr>
                <w:rFonts w:ascii="Arial" w:eastAsia="Times New Roman" w:hAnsi="Arial" w:cs="Arial"/>
                <w:noProof/>
                <w:color w:val="FFFFFF" w:themeColor="background1"/>
                <w:sz w:val="6"/>
                <w:szCs w:val="6"/>
                <w:lang w:eastAsia="it-IT"/>
              </w:rPr>
            </w:pPr>
          </w:p>
        </w:tc>
        <w:tc>
          <w:tcPr>
            <w:tcW w:w="4678" w:type="dxa"/>
            <w:gridSpan w:val="2"/>
            <w:shd w:val="clear" w:color="auto" w:fill="4F81BD" w:themeFill="accent1"/>
          </w:tcPr>
          <w:p w:rsidR="006F5221" w:rsidRPr="006F5221" w:rsidRDefault="006F5221" w:rsidP="00044628">
            <w:pPr>
              <w:tabs>
                <w:tab w:val="left" w:pos="1076"/>
                <w:tab w:val="left" w:pos="3297"/>
                <w:tab w:val="left" w:pos="4630"/>
                <w:tab w:val="left" w:pos="10715"/>
              </w:tabs>
              <w:spacing w:line="276" w:lineRule="auto"/>
              <w:ind w:left="33" w:right="409" w:hanging="33"/>
              <w:jc w:val="both"/>
              <w:rPr>
                <w:rFonts w:ascii="Arial" w:eastAsia="Times New Roman" w:hAnsi="Arial" w:cs="Arial"/>
                <w:noProof/>
                <w:color w:val="FFFFFF" w:themeColor="background1"/>
                <w:sz w:val="6"/>
                <w:szCs w:val="6"/>
                <w:lang w:eastAsia="it-IT"/>
              </w:rPr>
            </w:pPr>
          </w:p>
          <w:p w:rsidR="006F5221" w:rsidRPr="00671E20" w:rsidRDefault="006F5221" w:rsidP="00044628">
            <w:pPr>
              <w:tabs>
                <w:tab w:val="left" w:pos="1076"/>
                <w:tab w:val="left" w:pos="3297"/>
                <w:tab w:val="left" w:pos="4630"/>
                <w:tab w:val="left" w:pos="10715"/>
              </w:tabs>
              <w:spacing w:line="276" w:lineRule="auto"/>
              <w:ind w:left="33" w:right="409" w:hanging="33"/>
              <w:jc w:val="both"/>
              <w:rPr>
                <w:rFonts w:ascii="Arial" w:eastAsia="Times New Roman" w:hAnsi="Arial" w:cs="Arial"/>
                <w:noProof/>
                <w:color w:val="FFFFFF" w:themeColor="background1"/>
                <w:sz w:val="24"/>
                <w:szCs w:val="24"/>
                <w:lang w:eastAsia="it-IT"/>
              </w:rPr>
            </w:pPr>
            <w:r w:rsidRPr="00671E20">
              <w:rPr>
                <w:rFonts w:ascii="Arial" w:eastAsia="Times New Roman" w:hAnsi="Arial" w:cs="Arial"/>
                <w:noProof/>
                <w:color w:val="FFFFFF" w:themeColor="background1"/>
                <w:sz w:val="24"/>
                <w:szCs w:val="24"/>
                <w:lang w:eastAsia="it-IT"/>
              </w:rPr>
              <w:t>Modalità di contabilizzazione</w:t>
            </w:r>
          </w:p>
        </w:tc>
      </w:tr>
      <w:tr w:rsidR="006F5221" w:rsidRPr="000A5AA3" w:rsidTr="00044628">
        <w:trPr>
          <w:trHeight w:val="1549"/>
        </w:trPr>
        <w:tc>
          <w:tcPr>
            <w:tcW w:w="6712" w:type="dxa"/>
            <w:gridSpan w:val="4"/>
            <w:shd w:val="clear" w:color="auto" w:fill="auto"/>
          </w:tcPr>
          <w:p w:rsidR="006F5221" w:rsidRPr="006F5221" w:rsidRDefault="006F5221" w:rsidP="00044628">
            <w:pPr>
              <w:tabs>
                <w:tab w:val="left" w:pos="1076"/>
                <w:tab w:val="left" w:pos="3391"/>
                <w:tab w:val="left" w:pos="6462"/>
                <w:tab w:val="left" w:pos="10715"/>
              </w:tabs>
              <w:spacing w:line="276" w:lineRule="auto"/>
              <w:ind w:left="225" w:right="34"/>
              <w:jc w:val="both"/>
              <w:rPr>
                <w:rFonts w:ascii="Arial" w:eastAsia="Times New Roman" w:hAnsi="Arial" w:cs="Arial"/>
                <w:noProof/>
                <w:color w:val="4F81BD" w:themeColor="accent1"/>
                <w:sz w:val="6"/>
                <w:szCs w:val="6"/>
                <w:lang w:eastAsia="it-IT"/>
              </w:rPr>
            </w:pPr>
          </w:p>
          <w:p w:rsidR="006F5221" w:rsidRPr="00C65BEA" w:rsidRDefault="006F5221" w:rsidP="00BC0AE0">
            <w:pPr>
              <w:tabs>
                <w:tab w:val="left" w:pos="1076"/>
                <w:tab w:val="left" w:pos="3861"/>
                <w:tab w:val="left" w:pos="6462"/>
                <w:tab w:val="left" w:pos="10715"/>
              </w:tabs>
              <w:spacing w:line="276" w:lineRule="auto"/>
              <w:ind w:left="225" w:right="34"/>
              <w:jc w:val="both"/>
              <w:rPr>
                <w:rFonts w:ascii="Arial" w:eastAsia="Times New Roman" w:hAnsi="Arial" w:cs="Arial"/>
                <w:noProof/>
                <w:color w:val="4F81BD" w:themeColor="accent1"/>
                <w:sz w:val="16"/>
                <w:szCs w:val="16"/>
                <w:lang w:eastAsia="it-IT"/>
              </w:rPr>
            </w:pPr>
            <w:r w:rsidRPr="00C65BEA">
              <w:rPr>
                <w:rFonts w:ascii="Arial" w:eastAsia="Times New Roman" w:hAnsi="Arial" w:cs="Arial"/>
                <w:noProof/>
                <w:color w:val="4F81BD" w:themeColor="accent1"/>
                <w:sz w:val="16"/>
                <w:szCs w:val="16"/>
                <w:lang w:eastAsia="it-IT"/>
              </w:rPr>
              <w:drawing>
                <wp:anchor distT="0" distB="0" distL="114300" distR="114300" simplePos="0" relativeHeight="251662336" behindDoc="0" locked="0" layoutInCell="1" allowOverlap="1" wp14:anchorId="71F9FDFF" wp14:editId="1E921966">
                  <wp:simplePos x="0" y="0"/>
                  <wp:positionH relativeFrom="column">
                    <wp:posOffset>125730</wp:posOffset>
                  </wp:positionH>
                  <wp:positionV relativeFrom="paragraph">
                    <wp:posOffset>20320</wp:posOffset>
                  </wp:positionV>
                  <wp:extent cx="935990" cy="796925"/>
                  <wp:effectExtent l="0" t="0" r="0" b="3175"/>
                  <wp:wrapSquare wrapText="bothSides"/>
                  <wp:docPr id="6" name="Immagine 6" descr="C:\Users\user\Desktop\LANCELLOTTI\FOTO E FILMATI\VARIE 2008\tufi\DSC02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LANCELLOTTI\FOTO E FILMATI\VARIE 2008\tufi\DSC0292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5990" cy="796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noProof/>
                <w:color w:val="4F81BD" w:themeColor="accent1"/>
                <w:sz w:val="16"/>
                <w:szCs w:val="16"/>
                <w:lang w:eastAsia="it-IT"/>
              </w:rPr>
              <w:t xml:space="preserve">In alcuni particolari tufi saturi di acqua, può capitare che l’attrito della foratura crei sulle pareti dei fori una camicia compatta sigillante, in grado di diminuire sensibilmente, o addirittura impedire, l'assorbimento delle classiche soluzioni liquide a base di resine siliconiche quali siliconati, silicati e soprattutto le emulsioni siliconiche, anche qualora esse siano micronizzate. Questa circostanza, riscontrabile empiricamente dalla natura del “truciolo” generato in perforazione, di fatto impedisce l’iniezione a pressione e rende molto lunghi i tempi delle impregnazioni per trasfusione. A seguito di esperienze sul campo in tali casi è risultato risolutivo l’impiego di creme silossaniche idrolizzate in grado di formare la barriera per </w:t>
            </w:r>
            <w:r w:rsidR="00BC0AE0">
              <w:rPr>
                <w:rFonts w:ascii="Arial" w:eastAsia="Times New Roman" w:hAnsi="Arial" w:cs="Arial"/>
                <w:noProof/>
                <w:color w:val="4F81BD" w:themeColor="accent1"/>
                <w:sz w:val="16"/>
                <w:szCs w:val="16"/>
                <w:lang w:eastAsia="it-IT"/>
              </w:rPr>
              <w:t>migrazione del silano contenuto, validi anche i</w:t>
            </w:r>
            <w:r w:rsidR="00BC0AE0" w:rsidRPr="00BC0AE0">
              <w:rPr>
                <w:rFonts w:ascii="Arial" w:eastAsia="Times New Roman" w:hAnsi="Arial" w:cs="Arial"/>
                <w:noProof/>
                <w:color w:val="4F81BD" w:themeColor="accent1"/>
                <w:sz w:val="16"/>
                <w:szCs w:val="16"/>
                <w:lang w:eastAsia="it-IT"/>
              </w:rPr>
              <w:t xml:space="preserve"> cementi dendritici </w:t>
            </w:r>
            <w:r w:rsidR="00BC0AE0">
              <w:rPr>
                <w:rFonts w:ascii="Arial" w:eastAsia="Times New Roman" w:hAnsi="Arial" w:cs="Arial"/>
                <w:noProof/>
                <w:color w:val="4F81BD" w:themeColor="accent1"/>
                <w:sz w:val="16"/>
                <w:szCs w:val="16"/>
                <w:lang w:eastAsia="it-IT"/>
              </w:rPr>
              <w:t>che</w:t>
            </w:r>
            <w:r w:rsidR="00BC0AE0" w:rsidRPr="00BC0AE0">
              <w:rPr>
                <w:rFonts w:ascii="Arial" w:eastAsia="Times New Roman" w:hAnsi="Arial" w:cs="Arial"/>
                <w:noProof/>
                <w:color w:val="4F81BD" w:themeColor="accent1"/>
                <w:sz w:val="16"/>
                <w:szCs w:val="16"/>
                <w:lang w:eastAsia="it-IT"/>
              </w:rPr>
              <w:t xml:space="preserve"> cristallizzano indipendentemente dalla compattezza della superficie</w:t>
            </w:r>
            <w:r w:rsidR="00BC0AE0">
              <w:rPr>
                <w:rFonts w:ascii="Arial" w:eastAsia="Times New Roman" w:hAnsi="Arial" w:cs="Arial"/>
                <w:noProof/>
                <w:color w:val="4F81BD" w:themeColor="accent1"/>
                <w:sz w:val="16"/>
                <w:szCs w:val="16"/>
                <w:lang w:eastAsia="it-IT"/>
              </w:rPr>
              <w:t xml:space="preserve">, i cristalli aghiformi </w:t>
            </w:r>
            <w:bookmarkStart w:id="0" w:name="_GoBack"/>
            <w:bookmarkEnd w:id="0"/>
            <w:r w:rsidRPr="00C65BEA">
              <w:rPr>
                <w:rFonts w:ascii="Arial" w:eastAsia="Times New Roman" w:hAnsi="Arial" w:cs="Arial"/>
                <w:noProof/>
                <w:color w:val="4F81BD" w:themeColor="accent1"/>
                <w:sz w:val="16"/>
                <w:szCs w:val="16"/>
                <w:lang w:eastAsia="it-IT"/>
              </w:rPr>
              <w:t>penetrano in profondità reagendo con il supporto anche “sigillato”.</w:t>
            </w:r>
          </w:p>
        </w:tc>
        <w:tc>
          <w:tcPr>
            <w:tcW w:w="4678" w:type="dxa"/>
            <w:gridSpan w:val="2"/>
            <w:shd w:val="clear" w:color="auto" w:fill="auto"/>
          </w:tcPr>
          <w:p w:rsidR="006F5221" w:rsidRPr="006F5221" w:rsidRDefault="006F5221" w:rsidP="00044628">
            <w:pPr>
              <w:tabs>
                <w:tab w:val="left" w:pos="1076"/>
                <w:tab w:val="left" w:pos="3297"/>
                <w:tab w:val="left" w:pos="4630"/>
                <w:tab w:val="left" w:pos="10715"/>
              </w:tabs>
              <w:spacing w:line="276" w:lineRule="auto"/>
              <w:ind w:left="33" w:right="409" w:hanging="33"/>
              <w:jc w:val="both"/>
              <w:rPr>
                <w:rFonts w:ascii="Arial" w:eastAsia="Times New Roman" w:hAnsi="Arial" w:cs="Arial"/>
                <w:noProof/>
                <w:color w:val="4F81BD" w:themeColor="accent1"/>
                <w:sz w:val="6"/>
                <w:szCs w:val="6"/>
                <w:lang w:eastAsia="it-IT"/>
              </w:rPr>
            </w:pPr>
          </w:p>
          <w:p w:rsidR="006F5221" w:rsidRPr="00C65BEA" w:rsidRDefault="006F5221" w:rsidP="00044628">
            <w:pPr>
              <w:tabs>
                <w:tab w:val="left" w:pos="1076"/>
                <w:tab w:val="left" w:pos="3297"/>
                <w:tab w:val="left" w:pos="4144"/>
                <w:tab w:val="left" w:pos="4630"/>
                <w:tab w:val="left" w:pos="10715"/>
              </w:tabs>
              <w:spacing w:line="276" w:lineRule="auto"/>
              <w:ind w:left="33" w:right="176" w:firstLine="1"/>
              <w:jc w:val="both"/>
              <w:rPr>
                <w:rFonts w:ascii="Arial" w:eastAsia="Times New Roman" w:hAnsi="Arial" w:cs="Arial"/>
                <w:noProof/>
                <w:color w:val="4F81BD" w:themeColor="accent1"/>
                <w:sz w:val="16"/>
                <w:szCs w:val="16"/>
                <w:lang w:eastAsia="it-IT"/>
              </w:rPr>
            </w:pPr>
            <w:r w:rsidRPr="00C65BEA">
              <w:rPr>
                <w:rFonts w:ascii="Arial" w:eastAsia="Times New Roman" w:hAnsi="Arial" w:cs="Arial"/>
                <w:noProof/>
                <w:color w:val="4F81BD" w:themeColor="accent1"/>
                <w:sz w:val="16"/>
                <w:szCs w:val="16"/>
                <w:lang w:eastAsia="it-IT"/>
              </w:rPr>
              <w:drawing>
                <wp:anchor distT="0" distB="0" distL="114300" distR="114300" simplePos="0" relativeHeight="251663360" behindDoc="0" locked="0" layoutInCell="1" allowOverlap="1" wp14:anchorId="65E517F9" wp14:editId="20D594F5">
                  <wp:simplePos x="0" y="0"/>
                  <wp:positionH relativeFrom="column">
                    <wp:posOffset>29210</wp:posOffset>
                  </wp:positionH>
                  <wp:positionV relativeFrom="paragraph">
                    <wp:posOffset>21590</wp:posOffset>
                  </wp:positionV>
                  <wp:extent cx="930275" cy="796925"/>
                  <wp:effectExtent l="0" t="0" r="3175" b="3175"/>
                  <wp:wrapSquare wrapText="bothSides"/>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0275" cy="796925"/>
                          </a:xfrm>
                          <a:prstGeom prst="rect">
                            <a:avLst/>
                          </a:prstGeom>
                        </pic:spPr>
                      </pic:pic>
                    </a:graphicData>
                  </a:graphic>
                  <wp14:sizeRelH relativeFrom="margin">
                    <wp14:pctWidth>0</wp14:pctWidth>
                  </wp14:sizeRelH>
                  <wp14:sizeRelV relativeFrom="margin">
                    <wp14:pctHeight>0</wp14:pctHeight>
                  </wp14:sizeRelV>
                </wp:anchor>
              </w:drawing>
            </w:r>
            <w:r w:rsidRPr="00C65BEA">
              <w:rPr>
                <w:rFonts w:ascii="Arial" w:eastAsia="Times New Roman" w:hAnsi="Arial" w:cs="Arial"/>
                <w:noProof/>
                <w:color w:val="4F81BD" w:themeColor="accent1"/>
                <w:sz w:val="16"/>
                <w:szCs w:val="16"/>
                <w:lang w:eastAsia="it-IT"/>
              </w:rPr>
              <w:t>E’ pratica diffusa considerare come unita di  misura per le barriere chimiche, lo sviluppo lineare del muro da trattare per il suo spessore definendola in cm*m (centimetri lineari per metro di muratura). In buona sostanza, questo altro non è che la sezione del muro da indicare più facilmente in mq. La motivazione di questa attuale consuetudine deriva dalla necessità che si aveva negli anni 70/80 di “addolcire” i costi di una tecnologia innovativa che stava presentandosi sul mercato, per la quale 3.000 lire al cm*m risultavano ad amministratore pubblico più “rassicuranti” di 300.000 al mq.</w:t>
            </w:r>
          </w:p>
          <w:p w:rsidR="006F5221" w:rsidRPr="006F5221" w:rsidRDefault="006F5221" w:rsidP="00044628">
            <w:pPr>
              <w:tabs>
                <w:tab w:val="left" w:pos="1076"/>
                <w:tab w:val="left" w:pos="3297"/>
                <w:tab w:val="left" w:pos="4286"/>
                <w:tab w:val="left" w:pos="4630"/>
                <w:tab w:val="left" w:pos="10715"/>
              </w:tabs>
              <w:spacing w:line="276" w:lineRule="auto"/>
              <w:ind w:left="33" w:firstLine="1"/>
              <w:jc w:val="both"/>
              <w:rPr>
                <w:rFonts w:ascii="Arial" w:eastAsia="Times New Roman" w:hAnsi="Arial" w:cs="Arial"/>
                <w:noProof/>
                <w:color w:val="4F81BD" w:themeColor="accent1"/>
                <w:sz w:val="6"/>
                <w:szCs w:val="6"/>
                <w:lang w:eastAsia="it-IT"/>
              </w:rPr>
            </w:pPr>
          </w:p>
        </w:tc>
      </w:tr>
      <w:tr w:rsidR="006F5221" w:rsidRPr="000A5AA3" w:rsidTr="00044628">
        <w:trPr>
          <w:trHeight w:val="414"/>
        </w:trPr>
        <w:tc>
          <w:tcPr>
            <w:tcW w:w="11390" w:type="dxa"/>
            <w:gridSpan w:val="6"/>
            <w:shd w:val="clear" w:color="auto" w:fill="4F81BD"/>
          </w:tcPr>
          <w:p w:rsidR="006F5221" w:rsidRPr="006F5221" w:rsidRDefault="006F5221" w:rsidP="00044628">
            <w:pPr>
              <w:tabs>
                <w:tab w:val="left" w:pos="10715"/>
              </w:tabs>
              <w:ind w:left="225" w:right="220" w:hanging="142"/>
              <w:rPr>
                <w:rFonts w:ascii="Arial" w:eastAsia="Calibri" w:hAnsi="Arial" w:cs="Arial"/>
                <w:color w:val="FFFFFF"/>
                <w:sz w:val="6"/>
                <w:szCs w:val="6"/>
              </w:rPr>
            </w:pPr>
          </w:p>
          <w:p w:rsidR="006F5221" w:rsidRDefault="006F5221" w:rsidP="00044628">
            <w:pPr>
              <w:tabs>
                <w:tab w:val="left" w:pos="10715"/>
              </w:tabs>
              <w:ind w:left="225" w:right="220"/>
              <w:rPr>
                <w:rFonts w:ascii="Arial" w:eastAsia="Calibri" w:hAnsi="Arial" w:cs="Arial"/>
                <w:color w:val="FFFFFF"/>
                <w:sz w:val="24"/>
                <w:szCs w:val="24"/>
              </w:rPr>
            </w:pPr>
            <w:r w:rsidRPr="00671E20">
              <w:rPr>
                <w:rFonts w:ascii="Arial" w:eastAsia="Calibri" w:hAnsi="Arial" w:cs="Arial"/>
                <w:color w:val="FFFFFF"/>
                <w:sz w:val="24"/>
                <w:szCs w:val="24"/>
              </w:rPr>
              <w:t>Umidità residua e ciclo deumidificante di completamento</w:t>
            </w:r>
            <w:r>
              <w:rPr>
                <w:rFonts w:ascii="Arial" w:eastAsia="Calibri" w:hAnsi="Arial" w:cs="Arial"/>
                <w:color w:val="FFFFFF"/>
                <w:sz w:val="24"/>
                <w:szCs w:val="24"/>
              </w:rPr>
              <w:t xml:space="preserve"> con malte calce/pozzolana</w:t>
            </w:r>
          </w:p>
          <w:p w:rsidR="006F5221" w:rsidRPr="006F5221" w:rsidRDefault="006F5221" w:rsidP="00044628">
            <w:pPr>
              <w:tabs>
                <w:tab w:val="left" w:pos="10715"/>
              </w:tabs>
              <w:ind w:left="225" w:right="220" w:hanging="142"/>
              <w:rPr>
                <w:rFonts w:ascii="Arial" w:eastAsia="Calibri" w:hAnsi="Arial" w:cs="Arial"/>
                <w:color w:val="FFFFFF"/>
                <w:sz w:val="6"/>
                <w:szCs w:val="6"/>
              </w:rPr>
            </w:pPr>
          </w:p>
        </w:tc>
      </w:tr>
      <w:tr w:rsidR="006F5221" w:rsidRPr="00567CF6" w:rsidTr="00044628">
        <w:trPr>
          <w:trHeight w:val="3464"/>
        </w:trPr>
        <w:tc>
          <w:tcPr>
            <w:tcW w:w="11390" w:type="dxa"/>
            <w:gridSpan w:val="6"/>
            <w:shd w:val="clear" w:color="auto" w:fill="auto"/>
          </w:tcPr>
          <w:p w:rsidR="006F5221" w:rsidRPr="006F5221" w:rsidRDefault="006F5221" w:rsidP="00044628">
            <w:pPr>
              <w:tabs>
                <w:tab w:val="left" w:pos="10715"/>
              </w:tabs>
              <w:ind w:left="225" w:right="220"/>
              <w:jc w:val="both"/>
              <w:rPr>
                <w:rFonts w:ascii="Arial" w:eastAsia="Calibri" w:hAnsi="Arial" w:cs="Arial"/>
                <w:b/>
                <w:sz w:val="6"/>
                <w:szCs w:val="6"/>
              </w:rPr>
            </w:pPr>
          </w:p>
          <w:p w:rsidR="006F5221" w:rsidRPr="00C65BEA" w:rsidRDefault="006F5221" w:rsidP="00044628">
            <w:pPr>
              <w:tabs>
                <w:tab w:val="left" w:pos="10715"/>
                <w:tab w:val="left" w:pos="10998"/>
              </w:tabs>
              <w:ind w:left="225" w:right="176"/>
              <w:jc w:val="both"/>
              <w:rPr>
                <w:rFonts w:ascii="Arial" w:eastAsia="Calibri" w:hAnsi="Arial" w:cs="Arial"/>
                <w:color w:val="4F81BD" w:themeColor="accent1"/>
                <w:sz w:val="16"/>
                <w:szCs w:val="16"/>
              </w:rPr>
            </w:pPr>
            <w:r w:rsidRPr="00C65BEA">
              <w:rPr>
                <w:rFonts w:ascii="Arial" w:eastAsia="Calibri" w:hAnsi="Arial" w:cs="Arial"/>
                <w:color w:val="4F81BD" w:themeColor="accent1"/>
                <w:sz w:val="16"/>
                <w:szCs w:val="16"/>
              </w:rPr>
              <w:t>Prima dell’applicazione dei nuovi intonaci, risulta di particolare importanza l’applicazione di idonee e compatibili boiacche antisale di sottofondo per realizzare una barriera impenetrabile alla cristallizzazione dei Sali disciolti nell’acqua. Senza tali boiacche durante l’applicazione del nuovo intonaco, l’acqua dell’impasto potrebbe idratare i sali presenti nella muratura, facendoli trasmigrare in superficie durante la fase di asciugatura. Il ciclo viene completato dall’impiego degli esclusivi intonaci deumidificanti a base di calce aerea e pozzolana reattiva (zeolite) della CRC che andranno finiti con rasature e tinteggiature altrettanto traspiranti.</w:t>
            </w:r>
          </w:p>
          <w:p w:rsidR="006F5221" w:rsidRPr="006F5221" w:rsidRDefault="006F5221" w:rsidP="00044628">
            <w:pPr>
              <w:tabs>
                <w:tab w:val="left" w:pos="10715"/>
              </w:tabs>
              <w:ind w:left="225" w:right="220"/>
              <w:jc w:val="both"/>
              <w:rPr>
                <w:rFonts w:ascii="Arial" w:eastAsia="Calibri" w:hAnsi="Arial" w:cs="Arial"/>
                <w:sz w:val="6"/>
                <w:szCs w:val="6"/>
              </w:rPr>
            </w:pPr>
          </w:p>
          <w:p w:rsidR="006F5221" w:rsidRPr="00E86A8F" w:rsidRDefault="006F5221" w:rsidP="00E86A8F">
            <w:pPr>
              <w:tabs>
                <w:tab w:val="left" w:pos="10715"/>
              </w:tabs>
              <w:ind w:left="83" w:right="220"/>
              <w:jc w:val="both"/>
              <w:rPr>
                <w:rFonts w:ascii="Arial" w:eastAsia="Times New Roman" w:hAnsi="Arial" w:cs="Arial"/>
                <w:noProof/>
                <w:color w:val="1F497D"/>
                <w:sz w:val="10"/>
                <w:szCs w:val="10"/>
                <w:lang w:eastAsia="it-IT"/>
              </w:rPr>
            </w:pPr>
            <w:r>
              <w:rPr>
                <w:rFonts w:ascii="Arial" w:hAnsi="Arial" w:cs="Arial"/>
                <w:noProof/>
                <w:color w:val="808080" w:themeColor="background1" w:themeShade="80"/>
                <w:sz w:val="14"/>
                <w:szCs w:val="14"/>
                <w:lang w:eastAsia="it-IT"/>
              </w:rPr>
              <w:t xml:space="preserve">            </w:t>
            </w:r>
            <w:r>
              <w:rPr>
                <w:rFonts w:ascii="Arial" w:hAnsi="Arial" w:cs="Arial"/>
                <w:noProof/>
                <w:color w:val="808080" w:themeColor="background1" w:themeShade="80"/>
                <w:sz w:val="14"/>
                <w:szCs w:val="14"/>
                <w:lang w:eastAsia="it-IT"/>
              </w:rPr>
              <w:drawing>
                <wp:inline distT="0" distB="0" distL="0" distR="0" wp14:anchorId="0CD51F6A" wp14:editId="6722EDBD">
                  <wp:extent cx="2069960" cy="1379902"/>
                  <wp:effectExtent l="0" t="0" r="6985"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187 ridott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71505" cy="1380932"/>
                          </a:xfrm>
                          <a:prstGeom prst="rect">
                            <a:avLst/>
                          </a:prstGeom>
                        </pic:spPr>
                      </pic:pic>
                    </a:graphicData>
                  </a:graphic>
                </wp:inline>
              </w:drawing>
            </w:r>
            <w:r>
              <w:rPr>
                <w:rFonts w:ascii="Arial" w:eastAsia="Times New Roman" w:hAnsi="Arial" w:cs="Arial"/>
                <w:noProof/>
                <w:color w:val="1F497D"/>
                <w:sz w:val="10"/>
                <w:szCs w:val="10"/>
                <w:lang w:eastAsia="it-IT"/>
              </w:rPr>
              <w:t xml:space="preserve">     </w:t>
            </w:r>
            <w:r>
              <w:rPr>
                <w:noProof/>
                <w:color w:val="7F7F7F" w:themeColor="text1" w:themeTint="80"/>
                <w:sz w:val="16"/>
                <w:szCs w:val="16"/>
                <w:lang w:eastAsia="it-IT"/>
              </w:rPr>
              <w:drawing>
                <wp:inline distT="0" distB="0" distL="0" distR="0" wp14:anchorId="42074965" wp14:editId="2C978A73">
                  <wp:extent cx="2067438" cy="1376323"/>
                  <wp:effectExtent l="0" t="0" r="9525"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198rid.jpg"/>
                          <pic:cNvPicPr/>
                        </pic:nvPicPr>
                        <pic:blipFill>
                          <a:blip r:embed="rId13">
                            <a:extLst>
                              <a:ext uri="{28A0092B-C50C-407E-A947-70E740481C1C}">
                                <a14:useLocalDpi xmlns:a14="http://schemas.microsoft.com/office/drawing/2010/main" val="0"/>
                              </a:ext>
                            </a:extLst>
                          </a:blip>
                          <a:stretch>
                            <a:fillRect/>
                          </a:stretch>
                        </pic:blipFill>
                        <pic:spPr>
                          <a:xfrm>
                            <a:off x="0" y="0"/>
                            <a:ext cx="2080438" cy="1384977"/>
                          </a:xfrm>
                          <a:prstGeom prst="rect">
                            <a:avLst/>
                          </a:prstGeom>
                        </pic:spPr>
                      </pic:pic>
                    </a:graphicData>
                  </a:graphic>
                </wp:inline>
              </w:drawing>
            </w:r>
            <w:r>
              <w:rPr>
                <w:rFonts w:ascii="Arial" w:eastAsia="Times New Roman" w:hAnsi="Arial" w:cs="Arial"/>
                <w:noProof/>
                <w:color w:val="1F497D"/>
                <w:sz w:val="10"/>
                <w:szCs w:val="10"/>
                <w:lang w:eastAsia="it-IT"/>
              </w:rPr>
              <w:t xml:space="preserve">     </w:t>
            </w:r>
            <w:r>
              <w:rPr>
                <w:rFonts w:ascii="Arial" w:hAnsi="Arial" w:cs="Arial"/>
                <w:noProof/>
                <w:color w:val="808080" w:themeColor="background1" w:themeShade="80"/>
                <w:sz w:val="14"/>
                <w:szCs w:val="14"/>
                <w:lang w:eastAsia="it-IT"/>
              </w:rPr>
              <w:drawing>
                <wp:inline distT="0" distB="0" distL="0" distR="0" wp14:anchorId="4CA720B0" wp14:editId="429DE1A5">
                  <wp:extent cx="2029277" cy="1376624"/>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876rid.jpg"/>
                          <pic:cNvPicPr/>
                        </pic:nvPicPr>
                        <pic:blipFill>
                          <a:blip r:embed="rId14">
                            <a:extLst>
                              <a:ext uri="{28A0092B-C50C-407E-A947-70E740481C1C}">
                                <a14:useLocalDpi xmlns:a14="http://schemas.microsoft.com/office/drawing/2010/main" val="0"/>
                              </a:ext>
                            </a:extLst>
                          </a:blip>
                          <a:stretch>
                            <a:fillRect/>
                          </a:stretch>
                        </pic:blipFill>
                        <pic:spPr>
                          <a:xfrm>
                            <a:off x="0" y="0"/>
                            <a:ext cx="2039505" cy="1383562"/>
                          </a:xfrm>
                          <a:prstGeom prst="rect">
                            <a:avLst/>
                          </a:prstGeom>
                        </pic:spPr>
                      </pic:pic>
                    </a:graphicData>
                  </a:graphic>
                </wp:inline>
              </w:drawing>
            </w:r>
          </w:p>
        </w:tc>
      </w:tr>
    </w:tbl>
    <w:p w:rsidR="00154C10" w:rsidRDefault="00154C10" w:rsidP="006F5221"/>
    <w:sectPr w:rsidR="00154C10" w:rsidSect="006F5221">
      <w:pgSz w:w="11906" w:h="16838"/>
      <w:pgMar w:top="142" w:right="1134" w:bottom="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221"/>
    <w:rsid w:val="00154C10"/>
    <w:rsid w:val="006F5221"/>
    <w:rsid w:val="00B609D1"/>
    <w:rsid w:val="00BC0AE0"/>
    <w:rsid w:val="00E86A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5221"/>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6F5221"/>
    <w:rPr>
      <w:color w:val="0000FF" w:themeColor="hyperlink"/>
      <w:u w:val="single"/>
    </w:rPr>
  </w:style>
  <w:style w:type="paragraph" w:styleId="Testofumetto">
    <w:name w:val="Balloon Text"/>
    <w:basedOn w:val="Normale"/>
    <w:link w:val="TestofumettoCarattere"/>
    <w:uiPriority w:val="99"/>
    <w:semiHidden/>
    <w:unhideWhenUsed/>
    <w:rsid w:val="006F522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F52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F5221"/>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6F5221"/>
    <w:rPr>
      <w:color w:val="0000FF" w:themeColor="hyperlink"/>
      <w:u w:val="single"/>
    </w:rPr>
  </w:style>
  <w:style w:type="paragraph" w:styleId="Testofumetto">
    <w:name w:val="Balloon Text"/>
    <w:basedOn w:val="Normale"/>
    <w:link w:val="TestofumettoCarattere"/>
    <w:uiPriority w:val="99"/>
    <w:semiHidden/>
    <w:unhideWhenUsed/>
    <w:rsid w:val="006F522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F52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895</Words>
  <Characters>5106</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DzForum.net</Company>
  <LinksUpToDate>false</LinksUpToDate>
  <CharactersWithSpaces>5990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2013-02-20T17:27:00Z</dcterms:created>
  <dcterms:modified xsi:type="dcterms:W3CDTF">2013-07-12T09:04:00Z</dcterms:modified>
</cp:coreProperties>
</file>